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3332" w:rsidR="001C43F7" w:rsidP="001C43F7" w:rsidRDefault="001C43F7" w14:paraId="46531C4D" w14:textId="77777777">
      <w:pPr>
        <w:jc w:val="center"/>
        <w:rPr>
          <w:rFonts w:ascii="Arial" w:hAnsi="Arial" w:eastAsia="Arial" w:cs="Arial"/>
          <w:sz w:val="28"/>
          <w:szCs w:val="28"/>
          <w:lang w:val="it-IT"/>
        </w:rPr>
      </w:pPr>
      <w:r w:rsidRPr="008D3332">
        <w:rPr>
          <w:rFonts w:ascii="Arial"/>
          <w:b/>
          <w:sz w:val="28"/>
          <w:szCs w:val="28"/>
          <w:lang w:val="it-IT"/>
        </w:rPr>
        <w:t>"</w:t>
      </w:r>
      <w:r w:rsidRPr="008D3332">
        <w:rPr>
          <w:rFonts w:ascii="Arial"/>
          <w:b/>
          <w:i/>
          <w:sz w:val="28"/>
          <w:szCs w:val="28"/>
          <w:lang w:val="it-IT"/>
        </w:rPr>
        <w:t>Protezione e valorizzazione dell</w:t>
      </w:r>
      <w:r w:rsidRPr="008D3332">
        <w:rPr>
          <w:rFonts w:ascii="Arial"/>
          <w:b/>
          <w:i/>
          <w:sz w:val="28"/>
          <w:szCs w:val="28"/>
          <w:lang w:val="it-IT"/>
        </w:rPr>
        <w:t>’</w:t>
      </w:r>
      <w:r w:rsidRPr="008D3332">
        <w:rPr>
          <w:rFonts w:ascii="Arial"/>
          <w:b/>
          <w:i/>
          <w:sz w:val="28"/>
          <w:szCs w:val="28"/>
          <w:lang w:val="it-IT"/>
        </w:rPr>
        <w:t>architettura e del paesaggio rurale</w:t>
      </w:r>
      <w:r w:rsidRPr="008D3332">
        <w:rPr>
          <w:rFonts w:ascii="Arial"/>
          <w:b/>
          <w:sz w:val="28"/>
          <w:szCs w:val="28"/>
          <w:lang w:val="it-IT"/>
        </w:rPr>
        <w:t xml:space="preserve"> "</w:t>
      </w:r>
    </w:p>
    <w:p w:rsidRPr="008D3332" w:rsidR="00902F1A" w:rsidP="002872F5" w:rsidRDefault="001C43F7" w14:paraId="7D719C9F" w14:textId="77777777">
      <w:pPr>
        <w:spacing w:line="276" w:lineRule="auto"/>
        <w:jc w:val="center"/>
        <w:rPr>
          <w:rFonts w:asciiTheme="majorHAnsi" w:hAnsiTheme="majorHAnsi"/>
          <w:sz w:val="28"/>
          <w:szCs w:val="28"/>
          <w:lang w:val="it-IT" w:eastAsia="it-IT"/>
        </w:rPr>
      </w:pPr>
      <w:r w:rsidRPr="008D3332">
        <w:rPr>
          <w:rFonts w:asciiTheme="majorHAnsi" w:hAnsiTheme="majorHAnsi"/>
          <w:sz w:val="28"/>
          <w:szCs w:val="28"/>
          <w:lang w:val="it-IT" w:eastAsia="it-IT"/>
        </w:rPr>
        <w:t>PNRR-M1C3-2.2</w:t>
      </w:r>
    </w:p>
    <w:p w:rsidR="001C43F7" w:rsidP="302471E5" w:rsidRDefault="00126BEB" w14:paraId="0A927A20" w14:textId="13DD5E9C" w14:noSpellErr="1">
      <w:pPr>
        <w:tabs>
          <w:tab w:val="center" w:pos="4816"/>
          <w:tab w:val="left" w:pos="8775"/>
        </w:tabs>
        <w:spacing w:line="360" w:lineRule="auto"/>
        <w:ind w:firstLine="0"/>
        <w:rPr>
          <w:rFonts w:ascii="Calibri" w:hAnsi="Calibri" w:asciiTheme="majorAscii" w:hAnsiTheme="majorAscii"/>
          <w:b w:val="1"/>
          <w:bCs w:val="1"/>
          <w:color w:val="244061" w:themeColor="accent1" w:themeShade="80"/>
          <w:sz w:val="28"/>
          <w:szCs w:val="28"/>
          <w:lang w:val="it-IT" w:eastAsia="it-IT"/>
        </w:rPr>
      </w:pPr>
      <w:r w:rsidRPr="302471E5" w:rsidR="007B2EE7">
        <w:rPr>
          <w:rFonts w:ascii="Calibri" w:hAnsi="Calibri" w:asciiTheme="majorAscii" w:hAnsiTheme="majorAscii"/>
          <w:b w:val="1"/>
          <w:bCs w:val="1"/>
          <w:color w:val="244061" w:themeColor="accent1" w:themeShade="80"/>
          <w:sz w:val="28"/>
          <w:szCs w:val="28"/>
          <w:lang w:val="it-IT" w:eastAsia="it-IT"/>
        </w:rPr>
        <w:t xml:space="preserve">ALLEGATO D - </w:t>
      </w:r>
      <w:r w:rsidRPr="302471E5" w:rsidR="007844EF">
        <w:rPr>
          <w:rFonts w:ascii="Calibri" w:hAnsi="Calibri" w:asciiTheme="majorAscii" w:hAnsiTheme="majorAscii"/>
          <w:b w:val="1"/>
          <w:bCs w:val="1"/>
          <w:color w:val="244061" w:themeColor="accent1" w:themeShade="80"/>
          <w:sz w:val="28"/>
          <w:szCs w:val="28"/>
          <w:lang w:val="it-IT" w:eastAsia="it-IT"/>
        </w:rPr>
        <w:t xml:space="preserve">QUADRO TECNICO ECONOMICO DELL’INTERVENTO </w:t>
      </w:r>
      <w:r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  <w:tab/>
      </w:r>
    </w:p>
    <w:p w:rsidRPr="008D3332" w:rsidR="008D3332" w:rsidP="002872F5" w:rsidRDefault="008D3332" w14:paraId="565DADE1" w14:textId="096005BB">
      <w:pPr>
        <w:spacing w:line="360" w:lineRule="auto"/>
        <w:jc w:val="center"/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</w:pPr>
      <w:r w:rsidRPr="008D3332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(art. 8 co. 4 lett. </w:t>
      </w:r>
      <w:r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c</w:t>
      </w:r>
      <w:r w:rsidRPr="008D3332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.)</w:t>
      </w:r>
    </w:p>
    <w:tbl>
      <w:tblPr>
        <w:tblStyle w:val="TableNormal"/>
        <w:tblW w:w="13769" w:type="dxa"/>
        <w:tblInd w:w="649" w:type="dxa"/>
        <w:tblLayout w:type="fixed"/>
        <w:tblLook w:val="01E0" w:firstRow="1" w:lastRow="1" w:firstColumn="1" w:lastColumn="1" w:noHBand="0" w:noVBand="0"/>
      </w:tblPr>
      <w:tblGrid>
        <w:gridCol w:w="6591"/>
        <w:gridCol w:w="1984"/>
        <w:gridCol w:w="5194"/>
      </w:tblGrid>
      <w:tr w:rsidRPr="008D3332" w:rsidR="001C43F7" w:rsidTr="002872F5" w14:paraId="789DAD7F" w14:textId="77777777">
        <w:trPr>
          <w:gridAfter w:val="1"/>
          <w:wAfter w:w="5194" w:type="dxa"/>
          <w:trHeight w:val="579" w:hRule="exact"/>
        </w:trPr>
        <w:tc>
          <w:tcPr>
            <w:tcW w:w="6591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4" w:space="0"/>
            </w:tcBorders>
            <w:shd w:val="clear" w:color="auto" w:fill="333399"/>
          </w:tcPr>
          <w:p w:rsidRPr="007844EF" w:rsidR="001C43F7" w:rsidP="001C43F7" w:rsidRDefault="008039A2" w14:paraId="3063C291" w14:textId="77777777">
            <w:pPr>
              <w:pStyle w:val="TableParagraph"/>
              <w:spacing w:before="27"/>
              <w:ind w:left="50"/>
              <w:rPr>
                <w:rFonts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proofErr w:type="spellStart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</w:t>
            </w:r>
            <w:proofErr w:type="spellEnd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e voci di spesa per l’intervento oggetto della proposta progettuale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(*)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18" w:space="0"/>
              <w:right w:val="single" w:color="000000" w:sz="8" w:space="0"/>
            </w:tcBorders>
            <w:shd w:val="clear" w:color="auto" w:fill="333399"/>
          </w:tcPr>
          <w:p w:rsidRPr="007844EF" w:rsidR="001C43F7" w:rsidP="008039A2" w:rsidRDefault="008039A2" w14:paraId="7E2BFD34" w14:textId="77777777">
            <w:pPr>
              <w:pStyle w:val="TableParagraph"/>
              <w:spacing w:before="27"/>
              <w:ind w:left="55"/>
              <w:jc w:val="center"/>
              <w:rPr>
                <w:rFonts w:eastAsia="Arial" w:cs="Arial" w:asciiTheme="majorHAnsi" w:hAnsiTheme="majorHAnsi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 w:rsidR="002872F5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</w:tr>
      <w:tr w:rsidRPr="007844EF" w:rsidR="001C43F7" w:rsidTr="007844EF" w14:paraId="41CA37FD" w14:textId="77777777">
        <w:trPr>
          <w:gridAfter w:val="1"/>
          <w:wAfter w:w="5194" w:type="dxa"/>
          <w:trHeight w:val="554" w:hRule="exact"/>
        </w:trPr>
        <w:tc>
          <w:tcPr>
            <w:tcW w:w="6591" w:type="dxa"/>
            <w:tcBorders>
              <w:top w:val="single" w:color="000000" w:sz="18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1C43F7" w:rsidP="001C43F7" w:rsidRDefault="008039A2" w14:paraId="5415D9D8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A.1 – S</w:t>
            </w:r>
            <w:r w:rsidRPr="007844EF" w:rsidR="001C43F7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1C43F7" w:rsidP="008039A2" w:rsidRDefault="001C43F7" w14:paraId="65532548" w14:textId="77777777">
            <w:pPr>
              <w:pStyle w:val="TableParagraph"/>
              <w:spacing w:before="44"/>
              <w:jc w:val="center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45EA2B46" w14:textId="77777777">
        <w:trPr>
          <w:gridAfter w:val="1"/>
          <w:wAfter w:w="5194" w:type="dxa"/>
          <w:trHeight w:val="434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05D2AFEB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7EB37706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5B3A372B" w14:textId="77777777">
        <w:trPr>
          <w:gridAfter w:val="1"/>
          <w:wAfter w:w="5194" w:type="dxa"/>
          <w:trHeight w:val="434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438AED47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43BD9642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69D3421C" w14:textId="77777777">
        <w:trPr>
          <w:gridAfter w:val="1"/>
          <w:wAfter w:w="5194" w:type="dxa"/>
          <w:trHeight w:val="409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63635A9D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75982BBF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318DC224" w14:textId="77777777">
        <w:trPr>
          <w:gridAfter w:val="1"/>
          <w:wAfter w:w="5194" w:type="dxa"/>
          <w:trHeight w:val="521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689C1299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:rsidRPr="007844EF" w:rsidR="008039A2" w:rsidP="001C43F7" w:rsidRDefault="008039A2" w14:paraId="46825D09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</w:p>
          <w:p w:rsidRPr="007844EF" w:rsidR="008039A2" w:rsidP="001C43F7" w:rsidRDefault="008039A2" w14:paraId="1237F9DD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087953BA" w14:textId="7777777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536113BC" w14:textId="77777777">
        <w:trPr>
          <w:gridAfter w:val="1"/>
          <w:wAfter w:w="5194" w:type="dxa"/>
          <w:trHeight w:val="33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265DA211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711F287C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4ED10419" w14:textId="77777777">
        <w:trPr>
          <w:gridAfter w:val="1"/>
          <w:wAfter w:w="5194" w:type="dxa"/>
          <w:trHeight w:val="42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8039A2" w:rsidRDefault="008039A2" w14:paraId="4E3EE258" w14:textId="77777777">
            <w:pPr>
              <w:pStyle w:val="TableParagraph"/>
              <w:spacing w:before="44"/>
              <w:ind w:left="637" w:hanging="567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5D7E3C02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5B078FE1" w14:textId="77777777">
        <w:trPr>
          <w:gridAfter w:val="1"/>
          <w:wAfter w:w="5194" w:type="dxa"/>
          <w:trHeight w:val="424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43971816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1683D824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359D2C8D" w14:textId="77777777">
        <w:trPr>
          <w:gridAfter w:val="1"/>
          <w:wAfter w:w="5194" w:type="dxa"/>
          <w:trHeight w:val="571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4C278A6C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B –</w:t>
            </w:r>
            <w:r w:rsidRPr="007844EF">
              <w:rPr>
                <w:rFonts w:eastAsia="Arial" w:cs="Arial" w:asciiTheme="majorHAnsi" w:hAnsiTheme="majorHAns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7844EF">
              <w:rPr>
                <w:rFonts w:cs="Arial" w:asciiTheme="majorHAnsi" w:hAnsiTheme="majorHAnsi"/>
                <w:b/>
                <w:sz w:val="18"/>
                <w:szCs w:val="18"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23F6295A" w14:textId="7777777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230EC4BA" w14:textId="77777777">
        <w:trPr>
          <w:gridAfter w:val="1"/>
          <w:wAfter w:w="5194" w:type="dxa"/>
          <w:trHeight w:val="334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69C2E24E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7470B64E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1A8409BC" w14:textId="77777777">
        <w:trPr>
          <w:gridAfter w:val="1"/>
          <w:wAfter w:w="5194" w:type="dxa"/>
          <w:trHeight w:val="410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089DC6C0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27DE698D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6A28FF7C" w14:textId="77777777">
        <w:trPr>
          <w:gridAfter w:val="1"/>
          <w:wAfter w:w="5194" w:type="dxa"/>
          <w:trHeight w:val="430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8039A2" w14:paraId="56763E06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11364606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3EEF7BC8" w14:textId="77777777">
        <w:trPr>
          <w:gridAfter w:val="1"/>
          <w:wAfter w:w="5194" w:type="dxa"/>
          <w:trHeight w:val="428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7844EF" w14:paraId="41DE37CD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B.4</w:t>
            </w:r>
            <w:r w:rsidRPr="007844EF" w:rsidR="008039A2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 xml:space="preserve"> – Collaudo tecnico-amministrativo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050F81B4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8039A2" w:rsidTr="007844EF" w14:paraId="527F76D1" w14:textId="77777777">
        <w:trPr>
          <w:gridAfter w:val="1"/>
          <w:wAfter w:w="5194" w:type="dxa"/>
          <w:trHeight w:val="420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8039A2" w:rsidP="001C43F7" w:rsidRDefault="007844EF" w14:paraId="046C73A3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B.5</w:t>
            </w:r>
            <w:r w:rsidRPr="007844EF" w:rsidR="008039A2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 xml:space="preserve"> – Altre opere di ingegno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8039A2" w:rsidP="008039A2" w:rsidRDefault="008039A2" w14:paraId="4F9CEEBC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1654C20A" w14:textId="77777777">
        <w:trPr>
          <w:gridAfter w:val="1"/>
          <w:wAfter w:w="5194" w:type="dxa"/>
          <w:trHeight w:val="555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7EFE0591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 xml:space="preserve">C – </w:t>
            </w:r>
            <w:r w:rsidRPr="007844EF">
              <w:rPr>
                <w:rFonts w:cs="Arial" w:asciiTheme="majorHAnsi" w:hAnsiTheme="majorHAnsi"/>
                <w:b/>
                <w:sz w:val="18"/>
                <w:szCs w:val="18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72287D1D" w14:textId="7777777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036F56FF" w14:textId="77777777">
        <w:trPr>
          <w:gridAfter w:val="1"/>
          <w:wAfter w:w="5194" w:type="dxa"/>
          <w:trHeight w:val="386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4CA4C0E4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6788BAB3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2F6DC73A" w14:textId="77777777">
        <w:trPr>
          <w:gridAfter w:val="1"/>
          <w:wAfter w:w="5194" w:type="dxa"/>
          <w:trHeight w:val="570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616932AD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1BC9FFF9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46343DA9" w14:textId="77777777">
        <w:trPr>
          <w:gridAfter w:val="1"/>
          <w:wAfter w:w="5194" w:type="dxa"/>
          <w:trHeight w:val="519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7844EF" w:rsidRDefault="007844EF" w14:paraId="2180D8C2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 xml:space="preserve">C.3 – Spese per soluzioni ICT per una fruizione innovativa (es. realtà aumentata, </w:t>
            </w:r>
            <w:proofErr w:type="spellStart"/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QRCode</w:t>
            </w:r>
            <w:proofErr w:type="spellEnd"/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 xml:space="preserve"> per l’accesso a file multimediali, connettività, gaming, </w:t>
            </w:r>
            <w:proofErr w:type="spellStart"/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ecc</w:t>
            </w:r>
            <w:proofErr w:type="spellEnd"/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…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67085866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4B450828" w14:textId="77777777">
        <w:trPr>
          <w:gridAfter w:val="1"/>
          <w:wAfter w:w="5194" w:type="dxa"/>
          <w:trHeight w:val="418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7844EF" w:rsidRDefault="007844EF" w14:paraId="5D2E58DB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5613A8F1" w14:textId="77777777">
            <w:pPr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1C43F7" w:rsidTr="007844EF" w14:paraId="67590046" w14:textId="77777777">
        <w:trPr>
          <w:gridAfter w:val="1"/>
          <w:wAfter w:w="5194" w:type="dxa"/>
          <w:trHeight w:val="61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1C43F7" w:rsidP="007844EF" w:rsidRDefault="001C43F7" w14:paraId="3256C1DF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 xml:space="preserve">D </w:t>
            </w:r>
            <w:r w:rsidRPr="007844EF" w:rsidR="008039A2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–</w:t>
            </w:r>
            <w:r w:rsidRPr="007844EF" w:rsid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 xml:space="preserve"> S</w:t>
            </w: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pese per l’acquisizione di autoriz</w:t>
            </w:r>
            <w:r w:rsidRPr="007844EF" w:rsid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zazioni, pareri, nulla osta ecc.</w:t>
            </w:r>
            <w:r w:rsidRPr="007844EF">
              <w:rPr>
                <w:rFonts w:eastAsia="Arial" w:cs="Arial" w:asciiTheme="majorHAnsi" w:hAnsiTheme="majorHAnsi"/>
                <w:b/>
                <w:sz w:val="18"/>
                <w:szCs w:val="18"/>
                <w:lang w:val="it-IT"/>
              </w:rPr>
              <w:t>; allacciamenti, sondaggi e accertamenti tecnici; spese per polizza fidejussoria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1C43F7" w:rsidP="007844EF" w:rsidRDefault="007844EF" w14:paraId="45584B99" w14:textId="7777777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34810B15" w14:textId="77777777">
        <w:trPr>
          <w:gridAfter w:val="1"/>
          <w:wAfter w:w="5194" w:type="dxa"/>
          <w:trHeight w:val="42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7844EF" w:rsidRDefault="007844EF" w14:paraId="5C6C7982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7844EF" w:rsidP="007844EF" w:rsidRDefault="007844EF" w14:paraId="487E68A3" w14:textId="777777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1232DC21" w14:textId="77777777">
        <w:trPr>
          <w:gridAfter w:val="1"/>
          <w:wAfter w:w="5194" w:type="dxa"/>
          <w:trHeight w:val="29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5593049C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="007844EF" w:rsidP="007844EF" w:rsidRDefault="007844EF" w14:paraId="0424C8AA" w14:textId="77777777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27A3186E" w14:textId="77777777">
        <w:trPr>
          <w:gridAfter w:val="1"/>
          <w:wAfter w:w="5194" w:type="dxa"/>
          <w:trHeight w:val="29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4433A492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="007844EF" w:rsidP="007844EF" w:rsidRDefault="007844EF" w14:paraId="0C3D52ED" w14:textId="77777777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13ABA951" w14:textId="77777777">
        <w:trPr>
          <w:gridAfter w:val="1"/>
          <w:wAfter w:w="5194" w:type="dxa"/>
          <w:trHeight w:val="29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7844EF" w:rsidP="001C43F7" w:rsidRDefault="007844EF" w14:paraId="36ECEEA1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D.4 – Spese per polizza fidejussoria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="007844EF" w:rsidP="007844EF" w:rsidRDefault="007844EF" w14:paraId="3A8B78F2" w14:textId="77777777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7844EF" w:rsidR="007844EF" w:rsidTr="007844EF" w14:paraId="151D8EB7" w14:textId="77777777">
        <w:trPr>
          <w:gridAfter w:val="1"/>
          <w:wAfter w:w="5194" w:type="dxa"/>
          <w:trHeight w:val="292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="007844EF" w:rsidP="001C43F7" w:rsidRDefault="007844EF" w14:paraId="3B8B5441" w14:textId="77777777">
            <w:pPr>
              <w:pStyle w:val="TableParagraph"/>
              <w:spacing w:before="44"/>
              <w:ind w:left="50"/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</w:pPr>
            <w:r>
              <w:rPr>
                <w:rFonts w:eastAsia="Arial" w:cs="Arial" w:asciiTheme="majorHAnsi" w:hAnsiTheme="majorHAnsi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="007844EF" w:rsidP="007844EF" w:rsidRDefault="007844EF" w14:paraId="6B2C148E" w14:textId="77777777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Pr="00AD1214" w:rsidR="001C43F7" w:rsidTr="007844EF" w14:paraId="61A1D23C" w14:textId="77777777">
        <w:trPr>
          <w:gridAfter w:val="1"/>
          <w:wAfter w:w="5194" w:type="dxa"/>
          <w:trHeight w:val="318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7844EF" w:rsidR="001C43F7" w:rsidP="002872F5" w:rsidRDefault="001C43F7" w14:paraId="29F8B12A" w14:textId="77777777">
            <w:pPr>
              <w:pStyle w:val="TableParagraph"/>
              <w:spacing w:before="44"/>
              <w:ind w:right="117"/>
              <w:jc w:val="right"/>
              <w:rPr>
                <w:rFonts w:ascii="Arial" w:hAnsi="Arial" w:eastAsia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>Subtotale</w:t>
            </w:r>
            <w:r w:rsidRPr="007844EF" w:rsidR="007844EF">
              <w:rPr>
                <w:rFonts w:ascii="Arial"/>
                <w:b/>
                <w:sz w:val="18"/>
                <w:lang w:val="it-IT"/>
              </w:rPr>
              <w:t xml:space="preserve"> Spese </w:t>
            </w:r>
            <w:r w:rsidR="002872F5"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7844EF" w:rsidR="001C43F7" w:rsidP="007844EF" w:rsidRDefault="007844EF" w14:paraId="44B151F4" w14:textId="77777777">
            <w:pPr>
              <w:pStyle w:val="TableParagraph"/>
              <w:spacing w:before="44"/>
              <w:jc w:val="center"/>
              <w:rPr>
                <w:rFonts w:ascii="Arial" w:hAnsi="Arial" w:eastAsia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Pr="00844BA1" w:rsidR="001C43F7" w:rsidTr="002872F5" w14:paraId="580CD36F" w14:textId="77777777">
        <w:trPr>
          <w:trHeight w:val="318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:rsidRPr="002872F5" w:rsidR="001C43F7" w:rsidP="002872F5" w:rsidRDefault="002872F5" w14:paraId="180B2469" w14:textId="77777777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>Totale Spese non ammissibili</w:t>
            </w:r>
            <w:r w:rsidRPr="002872F5" w:rsidR="008039A2">
              <w:rPr>
                <w:rFonts w:ascii="Arial"/>
                <w:b/>
                <w:sz w:val="18"/>
                <w:lang w:val="it-IT"/>
              </w:rPr>
              <w:t xml:space="preserve"> </w:t>
            </w:r>
            <w:r>
              <w:rPr>
                <w:rFonts w:ascii="Arial"/>
                <w:b/>
                <w:sz w:val="18"/>
                <w:lang w:val="it-IT"/>
              </w:rPr>
              <w:t xml:space="preserve"> (**)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  <w:shd w:val="clear" w:color="auto" w:fill="auto"/>
          </w:tcPr>
          <w:p w:rsidRPr="002872F5" w:rsidR="001C43F7" w:rsidP="002872F5" w:rsidRDefault="002872F5" w14:paraId="7E809719" w14:textId="77777777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5194" w:type="dxa"/>
            <w:tcBorders>
              <w:left w:val="single" w:color="000000" w:sz="18" w:space="0"/>
            </w:tcBorders>
          </w:tcPr>
          <w:p w:rsidRPr="00AD1214" w:rsidR="001C43F7" w:rsidP="001C43F7" w:rsidRDefault="001C43F7" w14:paraId="26319AD0" w14:textId="77777777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Pr="00AD1214" w:rsidR="001C43F7" w:rsidTr="002872F5" w14:paraId="3E85275C" w14:textId="77777777">
        <w:trPr>
          <w:gridAfter w:val="1"/>
          <w:wAfter w:w="5194" w:type="dxa"/>
          <w:trHeight w:val="318" w:hRule="exact"/>
        </w:trPr>
        <w:tc>
          <w:tcPr>
            <w:tcW w:w="6591" w:type="dxa"/>
            <w:tcBorders>
              <w:top w:val="single" w:color="000000" w:sz="2" w:space="0"/>
              <w:left w:val="single" w:color="000000" w:sz="18" w:space="0"/>
              <w:bottom w:val="single" w:color="000000" w:sz="18" w:space="0"/>
              <w:right w:val="single" w:color="000000" w:sz="2" w:space="0"/>
            </w:tcBorders>
            <w:shd w:val="clear" w:color="auto" w:fill="333399"/>
          </w:tcPr>
          <w:p w:rsidRPr="002872F5" w:rsidR="001C43F7" w:rsidP="001C43F7" w:rsidRDefault="002872F5" w14:paraId="7F183A2A" w14:textId="77777777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shd w:val="clear" w:color="auto" w:fill="333399"/>
          </w:tcPr>
          <w:p w:rsidRPr="002872F5" w:rsidR="001C43F7" w:rsidP="007844EF" w:rsidRDefault="002872F5" w14:paraId="5F7C4C3A" w14:textId="77777777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</w:tr>
    </w:tbl>
    <w:p w:rsidRPr="008D3332" w:rsidR="001C43F7" w:rsidP="002872F5" w:rsidRDefault="002872F5" w14:paraId="1543C98B" w14:textId="77777777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 xml:space="preserve">(*) Le </w:t>
      </w:r>
      <w:proofErr w:type="spellStart"/>
      <w:r w:rsidRPr="008D3332">
        <w:rPr>
          <w:rFonts w:asciiTheme="majorHAnsi" w:hAnsiTheme="majorHAnsi"/>
          <w:i/>
          <w:sz w:val="18"/>
          <w:szCs w:val="18"/>
          <w:lang w:val="it-IT"/>
        </w:rPr>
        <w:t>macrovoci</w:t>
      </w:r>
      <w:proofErr w:type="spellEnd"/>
      <w:r w:rsidRPr="008D3332">
        <w:rPr>
          <w:rFonts w:asciiTheme="majorHAnsi" w:hAnsiTheme="majorHAnsi"/>
          <w:i/>
          <w:sz w:val="18"/>
          <w:szCs w:val="18"/>
          <w:lang w:val="it-IT"/>
        </w:rPr>
        <w:t xml:space="preserve"> di spesa sono le medesime da riportare nel format di domanda compilato on line.</w:t>
      </w:r>
    </w:p>
    <w:p w:rsidRPr="008D3332" w:rsidR="002872F5" w:rsidP="002872F5" w:rsidRDefault="002872F5" w14:paraId="64979A28" w14:textId="77777777">
      <w:pPr>
        <w:ind w:left="567"/>
        <w:rPr>
          <w:rFonts w:asciiTheme="majorHAnsi" w:hAnsiTheme="majorHAnsi"/>
          <w:i/>
          <w:sz w:val="18"/>
          <w:szCs w:val="18"/>
          <w:lang w:val="it-IT"/>
        </w:rPr>
      </w:pPr>
      <w:r w:rsidRPr="008D3332">
        <w:rPr>
          <w:rFonts w:asciiTheme="majorHAnsi" w:hAnsiTheme="majorHAnsi"/>
          <w:i/>
          <w:sz w:val="18"/>
          <w:szCs w:val="18"/>
          <w:lang w:val="it-IT"/>
        </w:rPr>
        <w:t>(**) Descrivere le spese non ammissibili in relazione a corredo del presente Quadro economico.</w:t>
      </w:r>
    </w:p>
    <w:sectPr w:rsidRPr="008D3332" w:rsidR="002872F5" w:rsidSect="00126BEB">
      <w:headerReference w:type="default" r:id="rId6"/>
      <w:pgSz w:w="11900" w:h="16840" w:orient="portrait"/>
      <w:pgMar w:top="1702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151" w:rsidP="001C43F7" w:rsidRDefault="00742151" w14:paraId="157275D7" w14:textId="77777777">
      <w:r>
        <w:separator/>
      </w:r>
    </w:p>
  </w:endnote>
  <w:endnote w:type="continuationSeparator" w:id="0">
    <w:p w:rsidR="00742151" w:rsidP="001C43F7" w:rsidRDefault="00742151" w14:paraId="49DFC7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151" w:rsidP="001C43F7" w:rsidRDefault="00742151" w14:paraId="519FD86B" w14:textId="77777777">
      <w:r>
        <w:separator/>
      </w:r>
    </w:p>
  </w:footnote>
  <w:footnote w:type="continuationSeparator" w:id="0">
    <w:p w:rsidR="00742151" w:rsidP="001C43F7" w:rsidRDefault="00742151" w14:paraId="7F6FC6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106C4" w:rsidR="007844EF" w:rsidP="001C43F7" w:rsidRDefault="00126BEB" w14:paraId="296195EF" w14:textId="0DCDE876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3C41A" wp14:editId="1FF3E59A">
          <wp:simplePos x="0" y="0"/>
          <wp:positionH relativeFrom="column">
            <wp:posOffset>4194810</wp:posOffset>
          </wp:positionH>
          <wp:positionV relativeFrom="paragraph">
            <wp:posOffset>83820</wp:posOffset>
          </wp:positionV>
          <wp:extent cx="1950085" cy="285750"/>
          <wp:effectExtent l="0" t="0" r="0" b="0"/>
          <wp:wrapNone/>
          <wp:docPr id="26" name="Immagine 2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285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866AFD">
      <w:rPr>
        <w:rFonts w:ascii="Calibri" w:hAnsi="Calibri"/>
        <w:noProof/>
        <w:color w:val="002060"/>
        <w:lang w:val="it-IT" w:eastAsia="it-IT"/>
      </w:rPr>
      <w:drawing>
        <wp:anchor distT="0" distB="0" distL="114300" distR="114300" simplePos="0" relativeHeight="251660288" behindDoc="1" locked="0" layoutInCell="1" allowOverlap="1" wp14:anchorId="1522206D" wp14:editId="2F5BC1DF">
          <wp:simplePos x="0" y="0"/>
          <wp:positionH relativeFrom="column">
            <wp:posOffset>2325370</wp:posOffset>
          </wp:positionH>
          <wp:positionV relativeFrom="paragraph">
            <wp:posOffset>74295</wp:posOffset>
          </wp:positionV>
          <wp:extent cx="1625600" cy="526415"/>
          <wp:effectExtent l="0" t="0" r="0" b="6985"/>
          <wp:wrapNone/>
          <wp:docPr id="27" name="Immagine 27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44EF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4410E8A6" wp14:editId="3918A6DB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2359660" cy="615950"/>
          <wp:effectExtent l="0" t="0" r="254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44EF">
      <w:tab/>
    </w:r>
    <w:r w:rsidR="007844EF">
      <w:t xml:space="preserve">                             </w:t>
    </w:r>
  </w:p>
  <w:p w:rsidR="007844EF" w:rsidRDefault="007844EF" w14:paraId="1FC1A933" w14:textId="77777777">
    <w:pPr>
      <w:pStyle w:val="Intestazion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7"/>
    <w:rsid w:val="00126BEB"/>
    <w:rsid w:val="001C43F7"/>
    <w:rsid w:val="002872F5"/>
    <w:rsid w:val="00346BDB"/>
    <w:rsid w:val="003A4A28"/>
    <w:rsid w:val="00742151"/>
    <w:rsid w:val="007844EF"/>
    <w:rsid w:val="007B2EE7"/>
    <w:rsid w:val="008039A2"/>
    <w:rsid w:val="008D3332"/>
    <w:rsid w:val="00902F1A"/>
    <w:rsid w:val="00D937FD"/>
    <w:rsid w:val="302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05F57"/>
  <w14:defaultImageDpi w14:val="300"/>
  <w15:docId w15:val="{B4C477FD-8FD5-FB4B-BFAB-9AE47CA03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hAnsi="Lucida Grande" w:cs="Lucida Grande" w:eastAsiaTheme="minorEastAsia"/>
      <w:sz w:val="18"/>
      <w:szCs w:val="18"/>
      <w:lang w:val="it-IT"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styleId="TableNormal" w:customStyle="1">
    <w:name w:val="Normal Table0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1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PUGLIA - Assessorato al Welfare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Maria CANDELA</dc:creator>
  <keywords/>
  <dc:description/>
  <lastModifiedBy>Bolelli Lorenza</lastModifiedBy>
  <revision>6</revision>
  <dcterms:created xsi:type="dcterms:W3CDTF">2022-04-05T15:59:00.0000000Z</dcterms:created>
  <dcterms:modified xsi:type="dcterms:W3CDTF">2022-04-08T11:16:03.6192241Z</dcterms:modified>
</coreProperties>
</file>